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hd w:val="clear" w:color="auto" w:fill="FFFFFF"/>
        <w:spacing w:before="0" w:beforeAutospacing="0" w:after="0" w:afterAutospacing="0"/>
        <w:rPr>
          <w:rFonts w:hint="eastAsia" w:ascii="微软雅黑" w:hAnsi="微软雅黑" w:eastAsia="微软雅黑" w:cs="微软雅黑"/>
          <w:b/>
          <w:bCs/>
          <w:i w:val="0"/>
          <w:iCs w:val="0"/>
          <w:caps w:val="0"/>
          <w:color w:val="202020"/>
          <w:spacing w:val="0"/>
          <w:sz w:val="36"/>
          <w:szCs w:val="36"/>
          <w:lang w:val="en-US" w:eastAsia="zh-CN"/>
        </w:rPr>
      </w:pPr>
      <w:r>
        <w:rPr>
          <w:rFonts w:hint="eastAsia" w:ascii="微软雅黑" w:hAnsi="微软雅黑" w:eastAsia="微软雅黑" w:cs="微软雅黑"/>
          <w:b/>
          <w:bCs/>
          <w:i w:val="0"/>
          <w:iCs w:val="0"/>
          <w:caps w:val="0"/>
          <w:color w:val="202020"/>
          <w:spacing w:val="0"/>
          <w:sz w:val="36"/>
          <w:szCs w:val="36"/>
          <w:lang w:val="en-US" w:eastAsia="zh-CN"/>
        </w:rPr>
        <w:t>MWS</w:t>
      </w:r>
      <w:r>
        <w:rPr>
          <w:rFonts w:hint="eastAsia" w:ascii="微软雅黑" w:hAnsi="微软雅黑" w:eastAsia="微软雅黑" w:cs="微软雅黑"/>
          <w:b/>
          <w:bCs/>
          <w:i w:val="0"/>
          <w:iCs w:val="0"/>
          <w:caps w:val="0"/>
          <w:color w:val="202020"/>
          <w:spacing w:val="0"/>
          <w:sz w:val="36"/>
          <w:szCs w:val="36"/>
          <w:lang w:val="en-US" w:eastAsia="zh-CN"/>
        </w:rPr>
        <w:t>的高精度</w:t>
      </w:r>
      <w:r>
        <w:rPr>
          <w:rFonts w:hint="eastAsia" w:ascii="微软雅黑" w:hAnsi="微软雅黑" w:eastAsia="微软雅黑" w:cs="微软雅黑"/>
          <w:b/>
          <w:bCs/>
          <w:i w:val="0"/>
          <w:iCs w:val="0"/>
          <w:caps w:val="0"/>
          <w:color w:val="202020"/>
          <w:spacing w:val="0"/>
          <w:sz w:val="36"/>
          <w:szCs w:val="36"/>
          <w:lang w:val="en-US" w:eastAsia="zh-CN"/>
        </w:rPr>
        <w:t>MediMicro®</w:t>
      </w:r>
      <w:r>
        <w:rPr>
          <w:rFonts w:hint="eastAsia" w:ascii="微软雅黑" w:hAnsi="微软雅黑" w:eastAsia="微软雅黑" w:cs="微软雅黑"/>
          <w:b/>
          <w:bCs/>
          <w:i w:val="0"/>
          <w:iCs w:val="0"/>
          <w:caps w:val="0"/>
          <w:color w:val="202020"/>
          <w:spacing w:val="0"/>
          <w:sz w:val="36"/>
          <w:szCs w:val="36"/>
          <w:lang w:val="en-US" w:eastAsia="zh-CN"/>
        </w:rPr>
        <w:t>医用</w:t>
      </w:r>
      <w:r>
        <w:rPr>
          <w:rFonts w:hint="eastAsia" w:ascii="微软雅黑" w:hAnsi="微软雅黑" w:eastAsia="微软雅黑" w:cs="微软雅黑"/>
          <w:b/>
          <w:bCs/>
          <w:i w:val="0"/>
          <w:iCs w:val="0"/>
          <w:caps w:val="0"/>
          <w:color w:val="202020"/>
          <w:spacing w:val="0"/>
          <w:sz w:val="36"/>
          <w:szCs w:val="36"/>
          <w:lang w:val="en-US" w:eastAsia="zh-CN"/>
        </w:rPr>
        <w:t>导线应用在</w:t>
      </w:r>
      <w:r>
        <w:rPr>
          <w:rFonts w:hint="eastAsia" w:ascii="微软雅黑" w:hAnsi="微软雅黑" w:eastAsia="微软雅黑" w:cs="微软雅黑"/>
          <w:b/>
          <w:bCs/>
          <w:i w:val="0"/>
          <w:iCs w:val="0"/>
          <w:caps w:val="0"/>
          <w:color w:val="202020"/>
          <w:spacing w:val="0"/>
          <w:sz w:val="36"/>
          <w:szCs w:val="36"/>
        </w:rPr>
        <w:t>电生理科技前沿</w:t>
      </w:r>
      <w:r>
        <w:rPr>
          <w:rFonts w:hint="eastAsia" w:ascii="微软雅黑" w:hAnsi="微软雅黑" w:eastAsia="微软雅黑" w:cs="微软雅黑"/>
          <w:b/>
          <w:bCs/>
          <w:i w:val="0"/>
          <w:iCs w:val="0"/>
          <w:caps w:val="0"/>
          <w:color w:val="202020"/>
          <w:spacing w:val="0"/>
          <w:sz w:val="36"/>
          <w:szCs w:val="36"/>
          <w:lang w:val="en-US" w:eastAsia="zh-CN"/>
        </w:rPr>
        <w:t>技术</w:t>
      </w:r>
      <w:r>
        <w:rPr>
          <w:rFonts w:hint="eastAsia" w:ascii="微软雅黑" w:hAnsi="微软雅黑" w:eastAsia="微软雅黑" w:cs="微软雅黑"/>
          <w:b/>
          <w:bCs/>
          <w:i w:val="0"/>
          <w:iCs w:val="0"/>
          <w:caps w:val="0"/>
          <w:color w:val="202020"/>
          <w:spacing w:val="0"/>
          <w:sz w:val="36"/>
          <w:szCs w:val="36"/>
          <w:lang w:eastAsia="zh-CN"/>
        </w:rPr>
        <w:t>（</w:t>
      </w:r>
      <w:r>
        <w:rPr>
          <w:rFonts w:hint="eastAsia" w:ascii="微软雅黑" w:hAnsi="微软雅黑" w:eastAsia="微软雅黑" w:cs="微软雅黑"/>
          <w:b/>
          <w:bCs/>
          <w:i w:val="0"/>
          <w:iCs w:val="0"/>
          <w:caps w:val="0"/>
          <w:color w:val="202020"/>
          <w:spacing w:val="0"/>
          <w:sz w:val="36"/>
          <w:szCs w:val="36"/>
          <w:lang w:val="en-US" w:eastAsia="zh-CN"/>
        </w:rPr>
        <w:t>Pulsed Field Ablation-PFA）</w:t>
      </w:r>
    </w:p>
    <w:p>
      <w:pPr>
        <w:pStyle w:val="5"/>
        <w:shd w:val="clear" w:color="auto" w:fill="FFFFFF"/>
        <w:spacing w:before="0" w:beforeAutospacing="0" w:after="0" w:afterAutospacing="0"/>
        <w:rPr>
          <w:rFonts w:hint="eastAsia" w:ascii="微软雅黑" w:hAnsi="微软雅黑" w:eastAsia="微软雅黑" w:cs="微软雅黑"/>
          <w:i w:val="0"/>
          <w:iCs w:val="0"/>
          <w:caps w:val="0"/>
          <w:color w:val="202020"/>
          <w:spacing w:val="0"/>
          <w:sz w:val="36"/>
          <w:szCs w:val="36"/>
          <w:lang w:val="en-US" w:eastAsia="zh-CN"/>
        </w:rPr>
      </w:pPr>
    </w:p>
    <w:p>
      <w:pPr>
        <w:pStyle w:val="5"/>
        <w:shd w:val="clear" w:color="auto" w:fill="FFFFFF"/>
        <w:spacing w:before="0" w:beforeAutospacing="0" w:after="0" w:afterAutospacing="0"/>
        <w:rPr>
          <w:rFonts w:hint="eastAsia" w:ascii="微软雅黑" w:hAnsi="微软雅黑" w:eastAsia="微软雅黑" w:cs="微软雅黑"/>
          <w:b/>
          <w:bCs/>
          <w:i w:val="0"/>
          <w:iCs w:val="0"/>
          <w:caps w:val="0"/>
          <w:color w:val="202020"/>
          <w:spacing w:val="0"/>
          <w:sz w:val="28"/>
          <w:szCs w:val="28"/>
        </w:rPr>
      </w:pPr>
      <w:r>
        <w:rPr>
          <w:rFonts w:hint="eastAsia" w:ascii="微软雅黑" w:hAnsi="微软雅黑" w:eastAsia="微软雅黑" w:cs="微软雅黑"/>
          <w:b/>
          <w:bCs/>
          <w:i w:val="0"/>
          <w:iCs w:val="0"/>
          <w:caps w:val="0"/>
          <w:color w:val="202020"/>
          <w:spacing w:val="0"/>
          <w:sz w:val="28"/>
          <w:szCs w:val="28"/>
        </w:rPr>
        <w:t>心脏脉冲电场消融技术应用</w:t>
      </w:r>
    </w:p>
    <w:p>
      <w:pPr>
        <w:rPr>
          <w:rFonts w:hint="eastAsia" w:ascii="微软雅黑" w:hAnsi="微软雅黑" w:eastAsia="微软雅黑" w:cs="微软雅黑"/>
          <w:i w:val="0"/>
          <w:iCs w:val="0"/>
          <w:caps w:val="0"/>
          <w:color w:val="000000" w:themeColor="text1"/>
          <w:spacing w:val="0"/>
          <w:kern w:val="0"/>
          <w:sz w:val="22"/>
          <w:szCs w:val="22"/>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kern w:val="0"/>
          <w:sz w:val="22"/>
          <w:szCs w:val="22"/>
          <w:lang w:val="en-US" w:eastAsia="zh-CN" w:bidi="ar-SA"/>
          <w14:textFill>
            <w14:solidFill>
              <w14:schemeClr w14:val="tx1"/>
            </w14:solidFill>
          </w14:textFill>
        </w:rPr>
        <w:t>MWS的高精度MediMicro®医用导线一直在RFA射频能量电生理消融技术上得到广泛的应用，随着</w:t>
      </w:r>
      <w:r>
        <w:rPr>
          <w:rFonts w:ascii="微软雅黑" w:hAnsi="微软雅黑" w:eastAsia="微软雅黑" w:cs="微软雅黑"/>
          <w:i w:val="0"/>
          <w:iCs w:val="0"/>
          <w:caps w:val="0"/>
          <w:color w:val="000000" w:themeColor="text1"/>
          <w:spacing w:val="0"/>
          <w:kern w:val="0"/>
          <w:sz w:val="22"/>
          <w:szCs w:val="22"/>
          <w:lang w:val="en-US" w:eastAsia="zh-CN" w:bidi="ar-SA"/>
          <w14:textFill>
            <w14:solidFill>
              <w14:schemeClr w14:val="tx1"/>
            </w14:solidFill>
          </w14:textFill>
        </w:rPr>
        <w:t>心脏脉冲电场消融</w:t>
      </w:r>
      <w:r>
        <w:rPr>
          <w:rFonts w:hint="eastAsia" w:ascii="微软雅黑" w:hAnsi="微软雅黑" w:eastAsia="微软雅黑" w:cs="微软雅黑"/>
          <w:i w:val="0"/>
          <w:iCs w:val="0"/>
          <w:caps w:val="0"/>
          <w:color w:val="000000" w:themeColor="text1"/>
          <w:spacing w:val="0"/>
          <w:kern w:val="0"/>
          <w:sz w:val="22"/>
          <w:szCs w:val="22"/>
          <w:lang w:val="en-US" w:eastAsia="zh-CN" w:bidi="ar-SA"/>
          <w14:textFill>
            <w14:solidFill>
              <w14:schemeClr w14:val="tx1"/>
            </w14:solidFill>
          </w14:textFill>
        </w:rPr>
        <w:t>（Pulsed Field Ablation-PFA）新技术的发展，MWS的高精度MediMicro®医用导线也进入了这目前最新的技术应用领域。</w:t>
      </w:r>
    </w:p>
    <w:p>
      <w:pPr>
        <w:rPr>
          <w:rFonts w:hint="eastAsia" w:ascii="微软雅黑" w:hAnsi="微软雅黑" w:eastAsia="微软雅黑" w:cs="微软雅黑"/>
          <w:i w:val="0"/>
          <w:iCs w:val="0"/>
          <w:caps w:val="0"/>
          <w:color w:val="000000" w:themeColor="text1"/>
          <w:spacing w:val="0"/>
          <w:kern w:val="0"/>
          <w:sz w:val="22"/>
          <w:szCs w:val="22"/>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kern w:val="0"/>
          <w:sz w:val="22"/>
          <w:szCs w:val="22"/>
          <w:lang w:val="en-US" w:eastAsia="zh-CN" w:bidi="ar-SA"/>
          <w14:textFill>
            <w14:solidFill>
              <w14:schemeClr w14:val="tx1"/>
            </w14:solidFill>
          </w14:textFill>
        </w:rPr>
        <w:t>我们乐意配合客户的研发，助力PFA技术得到更好的发展及应用。</w:t>
      </w:r>
    </w:p>
    <w:p>
      <w:pPr>
        <w:rPr>
          <w:rFonts w:hint="default" w:ascii="微软雅黑" w:hAnsi="微软雅黑" w:eastAsia="微软雅黑" w:cs="微软雅黑"/>
          <w:i w:val="0"/>
          <w:iCs w:val="0"/>
          <w:caps w:val="0"/>
          <w:color w:val="FF0000"/>
          <w:spacing w:val="0"/>
          <w:kern w:val="0"/>
          <w:sz w:val="22"/>
          <w:szCs w:val="22"/>
          <w:lang w:val="en-US" w:eastAsia="zh-CN" w:bidi="ar-SA"/>
        </w:rPr>
      </w:pPr>
    </w:p>
    <w:p>
      <w:pPr>
        <w:pStyle w:val="5"/>
        <w:shd w:val="clear" w:color="auto" w:fill="FFFFFF"/>
        <w:spacing w:before="0" w:beforeAutospacing="0" w:after="0" w:afterAutospacing="0"/>
        <w:rPr>
          <w:rFonts w:ascii="微软雅黑" w:hAnsi="微软雅黑" w:eastAsia="微软雅黑" w:cs="微软雅黑"/>
          <w:b/>
          <w:bCs/>
          <w:i w:val="0"/>
          <w:iCs w:val="0"/>
          <w:caps w:val="0"/>
          <w:color w:val="202020"/>
          <w:spacing w:val="0"/>
          <w:sz w:val="28"/>
          <w:szCs w:val="28"/>
        </w:rPr>
      </w:pPr>
      <w:r>
        <w:rPr>
          <w:rFonts w:ascii="微软雅黑" w:hAnsi="微软雅黑" w:eastAsia="微软雅黑" w:cs="微软雅黑"/>
          <w:b/>
          <w:bCs/>
          <w:i w:val="0"/>
          <w:iCs w:val="0"/>
          <w:caps w:val="0"/>
          <w:color w:val="202020"/>
          <w:spacing w:val="0"/>
          <w:sz w:val="28"/>
          <w:szCs w:val="28"/>
        </w:rPr>
        <w:t>绿色电生理理念</w:t>
      </w:r>
    </w:p>
    <w:p>
      <w:pPr>
        <w:pStyle w:val="5"/>
        <w:shd w:val="clear" w:color="auto" w:fill="FFFFFF"/>
        <w:spacing w:before="0" w:beforeAutospacing="0" w:after="0" w:afterAutospacing="0"/>
        <w:rPr>
          <w:rFonts w:ascii="微软雅黑" w:hAnsi="微软雅黑" w:eastAsia="微软雅黑" w:cs="微软雅黑"/>
          <w:i w:val="0"/>
          <w:iCs w:val="0"/>
          <w:caps w:val="0"/>
          <w:color w:val="000000" w:themeColor="text1"/>
          <w:spacing w:val="0"/>
          <w:sz w:val="22"/>
          <w:szCs w:val="22"/>
          <w14:textFill>
            <w14:solidFill>
              <w14:schemeClr w14:val="tx1"/>
            </w14:solidFill>
          </w14:textFill>
        </w:rPr>
      </w:pPr>
      <w:r>
        <w:rPr>
          <w:rFonts w:ascii="微软雅黑" w:hAnsi="微软雅黑" w:eastAsia="微软雅黑" w:cs="微软雅黑"/>
          <w:i w:val="0"/>
          <w:iCs w:val="0"/>
          <w:caps w:val="0"/>
          <w:color w:val="000000" w:themeColor="text1"/>
          <w:spacing w:val="0"/>
          <w:sz w:val="22"/>
          <w:szCs w:val="22"/>
          <w14:textFill>
            <w14:solidFill>
              <w14:schemeClr w14:val="tx1"/>
            </w14:solidFill>
          </w14:textFill>
        </w:rPr>
        <w:t>目前导管消融手术方式根据所使用的器械不同，可分为二维消融手术和三维消融手术。二维消融手术是指在导管消融手术中，使用传统的X射线辅助定位，然后进行消融治疗。长期暴露在Ｘ线辐射下的介入医生，DNA可能会出现损伤。并且皮肤癌、乳腺癌、脑肿瘤的发生率也较高。对于孕妇，在Ｘ线辐射下的射频消融术也是限制使用的。因此，减少Ｘ射线对医护人员以及患者的危害是将来医疗设备发展的重大方向。近年来，随着三维解剖标测技术，零射线射频消融不断被应用，成为近年来的研究热点</w:t>
      </w:r>
    </w:p>
    <w:p>
      <w:pPr>
        <w:pStyle w:val="5"/>
        <w:shd w:val="clear" w:color="auto" w:fill="FFFFFF"/>
        <w:spacing w:before="0" w:beforeAutospacing="0" w:after="0" w:afterAutospacing="0"/>
        <w:rPr>
          <w:rFonts w:ascii="微软雅黑" w:hAnsi="微软雅黑" w:eastAsia="微软雅黑" w:cs="微软雅黑"/>
          <w:i w:val="0"/>
          <w:iCs w:val="0"/>
          <w:caps w:val="0"/>
          <w:color w:val="FF0000"/>
          <w:spacing w:val="0"/>
          <w:sz w:val="22"/>
          <w:szCs w:val="22"/>
        </w:rPr>
      </w:pPr>
    </w:p>
    <w:p>
      <w:pPr>
        <w:pStyle w:val="5"/>
        <w:shd w:val="clear" w:color="auto" w:fill="FFFFFF"/>
        <w:spacing w:before="0" w:beforeAutospacing="0" w:after="0" w:afterAutospacing="0"/>
        <w:rPr>
          <w:rFonts w:hint="default" w:ascii="微软雅黑" w:hAnsi="微软雅黑" w:eastAsia="微软雅黑" w:cs="微软雅黑"/>
          <w:b/>
          <w:bCs/>
          <w:i w:val="0"/>
          <w:iCs w:val="0"/>
          <w:caps w:val="0"/>
          <w:color w:val="202020"/>
          <w:spacing w:val="0"/>
          <w:sz w:val="28"/>
          <w:szCs w:val="28"/>
          <w:lang w:val="en-US" w:eastAsia="zh-CN"/>
        </w:rPr>
      </w:pPr>
      <w:r>
        <w:rPr>
          <w:rFonts w:hint="eastAsia" w:ascii="微软雅黑" w:hAnsi="微软雅黑" w:eastAsia="微软雅黑" w:cs="微软雅黑"/>
          <w:b/>
          <w:bCs/>
          <w:i w:val="0"/>
          <w:iCs w:val="0"/>
          <w:caps w:val="0"/>
          <w:color w:val="202020"/>
          <w:spacing w:val="0"/>
          <w:sz w:val="28"/>
          <w:szCs w:val="28"/>
          <w:lang w:val="en-US" w:eastAsia="zh-CN"/>
        </w:rPr>
        <w:t>目前基本的消融技术</w:t>
      </w:r>
    </w:p>
    <w:p>
      <w:pPr>
        <w:pStyle w:val="5"/>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150" w:beforeAutospacing="0" w:after="0" w:afterAutospacing="0" w:line="218" w:lineRule="atLeast"/>
        <w:ind w:left="0" w:right="0" w:firstLine="0"/>
        <w:rPr>
          <w:rFonts w:ascii="微软雅黑" w:hAnsi="微软雅黑" w:eastAsia="微软雅黑" w:cs="微软雅黑"/>
          <w:i w:val="0"/>
          <w:iCs w:val="0"/>
          <w:caps w:val="0"/>
          <w:color w:val="000000" w:themeColor="text1"/>
          <w:spacing w:val="0"/>
          <w:sz w:val="22"/>
          <w:szCs w:val="22"/>
          <w:highlight w:val="none"/>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2"/>
          <w:highlight w:val="none"/>
          <w14:textFill>
            <w14:solidFill>
              <w14:schemeClr w14:val="tx1"/>
            </w14:solidFill>
          </w14:textFill>
        </w:rPr>
        <w:t>冷冻消融</w:t>
      </w:r>
      <w:r>
        <w:rPr>
          <w:rFonts w:hint="eastAsia"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t>cryoablation</w:t>
      </w:r>
      <w:r>
        <w:rPr>
          <w:rFonts w:hint="eastAsia" w:ascii="微软雅黑" w:hAnsi="微软雅黑" w:eastAsia="微软雅黑" w:cs="微软雅黑"/>
          <w:i w:val="0"/>
          <w:iCs w:val="0"/>
          <w:caps w:val="0"/>
          <w:color w:val="000000" w:themeColor="text1"/>
          <w:spacing w:val="0"/>
          <w:sz w:val="22"/>
          <w:szCs w:val="22"/>
          <w:highlight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t xml:space="preserve"> 其原理</w:t>
      </w:r>
      <w:r>
        <w:rPr>
          <w:rFonts w:hint="eastAsia" w:ascii="微软雅黑" w:hAnsi="微软雅黑" w:eastAsia="微软雅黑" w:cs="微软雅黑"/>
          <w:i w:val="0"/>
          <w:iCs w:val="0"/>
          <w:caps w:val="0"/>
          <w:color w:val="000000" w:themeColor="text1"/>
          <w:spacing w:val="0"/>
          <w:sz w:val="22"/>
          <w:szCs w:val="22"/>
          <w:highlight w:val="none"/>
          <w14:textFill>
            <w14:solidFill>
              <w14:schemeClr w14:val="tx1"/>
            </w14:solidFill>
          </w14:textFill>
        </w:rPr>
        <w:t>机制</w:t>
      </w:r>
      <w:r>
        <w:rPr>
          <w:rFonts w:hint="eastAsia"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t>是</w:t>
      </w:r>
      <w:r>
        <w:rPr>
          <w:rFonts w:hint="eastAsia" w:ascii="微软雅黑" w:hAnsi="微软雅黑" w:eastAsia="微软雅黑" w:cs="微软雅黑"/>
          <w:i w:val="0"/>
          <w:iCs w:val="0"/>
          <w:caps w:val="0"/>
          <w:color w:val="000000" w:themeColor="text1"/>
          <w:spacing w:val="0"/>
          <w:sz w:val="22"/>
          <w:szCs w:val="22"/>
          <w:highlight w:val="none"/>
          <w14:textFill>
            <w14:solidFill>
              <w14:schemeClr w14:val="tx1"/>
            </w14:solidFill>
          </w14:textFill>
        </w:rPr>
        <w:t>通过冷冻能源所造成的低温引起靶点心肌细胞坏死，进而达到治疗效果，目前临床应用的冷冻剂为压缩的N２O，通过极其细小的通道输送至球囊，对组织进行冷冻；N２O的沸点为－88.48℃。冷冻球囊实现低温消融主要是通过Joule-Thomson效应，即节流膨胀效应。该效应是指高压流体经过细小的毛细管到达低压区域时，流体膨胀吸热所引起的温度下降。在CBA体系中，高压下的液化制冷剂被储存于常温下与外界隔绝的钢瓶中。冷冻消融开始时，液化制冷剂通过系统内置毛细管到达球囊内胆中，解除压缩并气化膨胀，使球囊大幅度降温而产生冷冻消融效应。</w:t>
      </w:r>
    </w:p>
    <w:p>
      <w:pPr>
        <w:keepNext w:val="0"/>
        <w:keepLines w:val="0"/>
        <w:widowControl/>
        <w:numPr>
          <w:ilvl w:val="0"/>
          <w:numId w:val="1"/>
        </w:numPr>
        <w:suppressLineNumbers w:val="0"/>
        <w:shd w:val="clear" w:fill="FFFFFF"/>
        <w:spacing w:after="113" w:afterAutospacing="0" w:line="180" w:lineRule="atLeast"/>
        <w:ind w:left="0" w:leftChars="0" w:firstLine="0" w:firstLineChars="0"/>
        <w:jc w:val="left"/>
        <w:rPr>
          <w:rFonts w:hint="eastAsia" w:ascii="微软雅黑" w:hAnsi="微软雅黑" w:eastAsia="微软雅黑" w:cs="微软雅黑"/>
          <w:i w:val="0"/>
          <w:iCs w:val="0"/>
          <w:caps w:val="0"/>
          <w:color w:val="000000" w:themeColor="text1"/>
          <w:spacing w:val="0"/>
          <w:sz w:val="22"/>
          <w:szCs w:val="22"/>
          <w:highlight w:val="none"/>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2"/>
          <w:highlight w:val="none"/>
          <w14:textFill>
            <w14:solidFill>
              <w14:schemeClr w14:val="tx1"/>
            </w14:solidFill>
          </w14:textFill>
        </w:rPr>
        <w:t>射频消</w:t>
      </w:r>
      <w:r>
        <w:rPr>
          <w:rFonts w:hint="eastAsia" w:ascii="微软雅黑" w:hAnsi="微软雅黑" w:eastAsia="微软雅黑" w:cs="微软雅黑"/>
          <w:i w:val="0"/>
          <w:iCs w:val="0"/>
          <w:caps w:val="0"/>
          <w:color w:val="000000" w:themeColor="text1"/>
          <w:spacing w:val="0"/>
          <w:sz w:val="22"/>
          <w:szCs w:val="22"/>
          <w:highlight w:val="none"/>
          <w14:textFill>
            <w14:solidFill>
              <w14:schemeClr w14:val="tx1"/>
            </w14:solidFill>
          </w14:textFill>
        </w:rPr>
        <w:t>融Radio Frequency Ablation</w:t>
      </w:r>
      <w:r>
        <w:rPr>
          <w:rFonts w:hint="eastAsia"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t xml:space="preserve">-RFA, </w:t>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t>射频消融是通过股动静脉、</w:t>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instrText xml:space="preserve"> HYPERLINK "https://baike.baidu.com/item/%E9%A2%88%E5%86%85%E9%9D%99%E8%84%89/8923185" \t "https://baike.baidu.com/item/%E5%B0%84%E9%A2%91%E6%B6%88%E8%9E%8D/_blank" </w:instrText>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2"/>
          <w:szCs w:val="22"/>
          <w:highlight w:val="none"/>
          <w14:textFill>
            <w14:solidFill>
              <w14:schemeClr w14:val="tx1"/>
            </w14:solidFill>
          </w14:textFill>
        </w:rPr>
        <w:t>颈内静脉</w:t>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t>、</w:t>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instrText xml:space="preserve"> HYPERLINK "https://baike.baidu.com/item/%E9%94%81%E9%AA%A8%E4%B8%8B%E9%9D%99%E8%84%89/6113050" \t "https://baike.baidu.com/item/%E5%B0%84%E9%A2%91%E6%B6%88%E8%9E%8D/_blank" </w:instrText>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2"/>
          <w:szCs w:val="22"/>
          <w:highlight w:val="none"/>
          <w14:textFill>
            <w14:solidFill>
              <w14:schemeClr w14:val="tx1"/>
            </w14:solidFill>
          </w14:textFill>
        </w:rPr>
        <w:t>锁骨下静脉</w:t>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t>的途径，把电极导管插入心脏，用电生理标测技术找到心脏内异常电传导通道或</w:t>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instrText xml:space="preserve"> HYPERLINK "https://baike.baidu.com/item/%E5%BC%82%E4%BD%8D%E6%90%8F%E5%8A%A8/8050570" \t "https://baike.baidu.com/item/%E5%B0%84%E9%A2%91%E6%B6%88%E8%9E%8D/_blank" </w:instrText>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2"/>
          <w:szCs w:val="22"/>
          <w:highlight w:val="none"/>
          <w14:textFill>
            <w14:solidFill>
              <w14:schemeClr w14:val="tx1"/>
            </w14:solidFill>
          </w14:textFill>
        </w:rPr>
        <w:t>异位搏动</w:t>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t>点，利用大头导管顶端的电极在心肌组织内产生阻力性</w:t>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instrText xml:space="preserve"> HYPERLINK "https://baike.baidu.com/item/%E7%94%B5%E7%83%AD%E6%95%88%E5%BA%94/308467" \t "https://baike.baidu.com/item/%E5%B0%84%E9%A2%91%E6%B6%88%E8%9E%8D/_blank" </w:instrText>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2"/>
          <w:szCs w:val="22"/>
          <w:highlight w:val="none"/>
          <w14:textFill>
            <w14:solidFill>
              <w14:schemeClr w14:val="tx1"/>
            </w14:solidFill>
          </w14:textFill>
        </w:rPr>
        <w:t>电热效应</w:t>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t>，使</w:t>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instrText xml:space="preserve"> HYPERLINK "https://baike.baidu.com/item/%E5%BF%83%E8%82%8C%E7%BB%86%E8%83%9E/8439410" \t "https://baike.baidu.com/item/%E5%B0%84%E9%A2%91%E6%B6%88%E8%9E%8D/_blank" </w:instrText>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2"/>
          <w:szCs w:val="22"/>
          <w:highlight w:val="none"/>
          <w14:textFill>
            <w14:solidFill>
              <w14:schemeClr w14:val="tx1"/>
            </w14:solidFill>
          </w14:textFill>
        </w:rPr>
        <w:t>心肌细胞</w:t>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t>干燥坏死，达到治疗快速性</w:t>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instrText xml:space="preserve"> HYPERLINK "https://baike.baidu.com/item/%E5%BF%83%E5%BE%8B%E5%A4%B1%E5%B8%B8/2255384" \t "https://baike.baidu.com/item/%E5%B0%84%E9%A2%91%E6%B6%88%E8%9E%8D/_blank" </w:instrText>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2"/>
          <w:szCs w:val="22"/>
          <w:highlight w:val="none"/>
          <w14:textFill>
            <w14:solidFill>
              <w14:schemeClr w14:val="tx1"/>
            </w14:solidFill>
          </w14:textFill>
        </w:rPr>
        <w:t>心律失常</w:t>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2"/>
          <w:szCs w:val="22"/>
          <w:highlight w:val="none"/>
          <w:lang w:val="en-US" w:eastAsia="zh-CN"/>
          <w14:textFill>
            <w14:solidFill>
              <w14:schemeClr w14:val="tx1"/>
            </w14:solidFill>
          </w14:textFill>
        </w:rPr>
        <w:t>的目的。</w:t>
      </w:r>
    </w:p>
    <w:p>
      <w:pPr>
        <w:pStyle w:val="5"/>
        <w:shd w:val="clear" w:color="auto" w:fill="FFFFFF"/>
        <w:spacing w:before="0" w:beforeAutospacing="0" w:after="0" w:afterAutospacing="0"/>
        <w:rPr>
          <w:rFonts w:ascii="微软雅黑" w:hAnsi="微软雅黑" w:eastAsia="微软雅黑" w:cs="微软雅黑"/>
          <w:i w:val="0"/>
          <w:iCs w:val="0"/>
          <w:caps w:val="0"/>
          <w:color w:val="FF0000"/>
          <w:spacing w:val="0"/>
          <w:sz w:val="22"/>
          <w:szCs w:val="22"/>
        </w:rPr>
      </w:pPr>
    </w:p>
    <w:p>
      <w:pPr>
        <w:pStyle w:val="5"/>
        <w:shd w:val="clear" w:color="auto" w:fill="FFFFFF"/>
        <w:spacing w:before="0" w:beforeAutospacing="0" w:after="0" w:afterAutospacing="0"/>
        <w:rPr>
          <w:rFonts w:hint="eastAsia" w:ascii="微软雅黑" w:hAnsi="微软雅黑" w:eastAsia="微软雅黑"/>
          <w:color w:val="2F2F2F"/>
        </w:rPr>
      </w:pPr>
      <w:r>
        <w:rPr>
          <w:rFonts w:ascii="inherit" w:hAnsi="inherit" w:eastAsia="微软雅黑"/>
          <w:color w:val="2F2F2F"/>
        </w:rPr>
        <w:t>心房颤动（房颤）是最常见的心律失常，其发病率约为1%左右，且随着年龄增加其发病率逐渐升高。研究表明，导管消融是房颤患者恢复和维持窦性心律的有效手段, 目前基于肺静脉隔离的导管消融术仍是房颤治疗的基石.</w:t>
      </w:r>
    </w:p>
    <w:p>
      <w:pPr>
        <w:pStyle w:val="5"/>
        <w:shd w:val="clear" w:color="auto" w:fill="FFFFFF"/>
        <w:spacing w:before="0" w:beforeAutospacing="0" w:after="0" w:afterAutospacing="0"/>
        <w:rPr>
          <w:rFonts w:hint="eastAsia" w:ascii="inherit" w:hAnsi="inherit" w:eastAsia="微软雅黑"/>
          <w:color w:val="2F2F2F"/>
          <w:lang w:val="en-US" w:eastAsia="zh-CN"/>
        </w:rPr>
      </w:pPr>
      <w:r>
        <w:rPr>
          <w:rFonts w:ascii="inherit" w:hAnsi="inherit" w:eastAsia="微软雅黑"/>
          <w:color w:val="2F2F2F"/>
        </w:rPr>
        <w:t>目前普遍应用的消融能量以射频能量为主，冷冻能量为辅，这两种消融方式已显示出一定的优越性， 同时也有相应的局限性，例如消融能量对消融区域组织的破坏缺乏选择性，且依赖于导管的贴靠力，可能对邻近的食管、冠状动脉和膈神经等造成的损伤等等，因此找到一种快速安全高效的消融能量以完成并达到持久性肺静脉隔离且不伤及毗邻组织的相关技术也是近期房颤研究的热点</w:t>
      </w:r>
      <w:r>
        <w:rPr>
          <w:rFonts w:hint="eastAsia" w:ascii="inherit" w:hAnsi="inherit" w:eastAsia="微软雅黑"/>
          <w:color w:val="2F2F2F"/>
          <w:lang w:val="en-US" w:eastAsia="zh-CN"/>
        </w:rPr>
        <w:t>.</w:t>
      </w:r>
    </w:p>
    <w:p>
      <w:pPr>
        <w:pStyle w:val="5"/>
        <w:shd w:val="clear" w:color="auto" w:fill="FFFFFF"/>
        <w:spacing w:before="0" w:beforeAutospacing="0" w:after="0" w:afterAutospacing="0"/>
        <w:rPr>
          <w:rFonts w:hint="eastAsia" w:ascii="inherit" w:hAnsi="inherit" w:eastAsia="微软雅黑"/>
          <w:color w:val="2F2F2F"/>
          <w:lang w:val="en-US" w:eastAsia="zh-CN"/>
        </w:rPr>
      </w:pPr>
    </w:p>
    <w:p>
      <w:pPr>
        <w:pStyle w:val="5"/>
        <w:numPr>
          <w:ilvl w:val="0"/>
          <w:numId w:val="1"/>
        </w:numPr>
        <w:shd w:val="clear" w:color="auto" w:fill="FFFFFF"/>
        <w:spacing w:before="0" w:beforeAutospacing="0" w:after="0" w:afterAutospacing="0"/>
        <w:ind w:left="0" w:leftChars="0" w:firstLine="0" w:firstLineChars="0"/>
        <w:rPr>
          <w:rFonts w:hint="eastAsia" w:ascii="inherit" w:hAnsi="inherit" w:eastAsia="微软雅黑"/>
          <w:color w:val="2F2F2F"/>
        </w:rPr>
      </w:pPr>
      <w:r>
        <w:rPr>
          <w:rStyle w:val="8"/>
          <w:rFonts w:ascii="inherit" w:hAnsi="inherit" w:eastAsia="微软雅黑" w:cs="Times New Roman"/>
          <w:color w:val="2F2F2F"/>
        </w:rPr>
        <w:t>心脏脉冲电场消融</w:t>
      </w:r>
      <w:r>
        <w:rPr>
          <w:rStyle w:val="8"/>
          <w:rFonts w:hint="eastAsia" w:ascii="inherit" w:hAnsi="inherit" w:eastAsia="微软雅黑" w:cs="Times New Roman"/>
          <w:color w:val="2F2F2F"/>
          <w:lang w:eastAsia="zh-CN"/>
        </w:rPr>
        <w:t>（</w:t>
      </w:r>
      <w:r>
        <w:rPr>
          <w:rStyle w:val="8"/>
          <w:rFonts w:hint="eastAsia" w:ascii="inherit" w:hAnsi="inherit" w:eastAsia="微软雅黑" w:cs="Times New Roman"/>
          <w:color w:val="2F2F2F"/>
          <w:lang w:val="en-US" w:eastAsia="zh-CN"/>
        </w:rPr>
        <w:t>Pulsed Field Ablation-PFA）</w:t>
      </w:r>
    </w:p>
    <w:p>
      <w:pPr>
        <w:pStyle w:val="5"/>
        <w:shd w:val="clear" w:color="auto" w:fill="FFFFFF"/>
        <w:spacing w:before="0" w:beforeAutospacing="0" w:after="0" w:afterAutospacing="0"/>
        <w:rPr>
          <w:rFonts w:hint="eastAsia" w:ascii="微软雅黑" w:hAnsi="微软雅黑" w:eastAsia="微软雅黑"/>
          <w:color w:val="2F2F2F"/>
          <w:sz w:val="21"/>
          <w:szCs w:val="21"/>
        </w:rPr>
      </w:pPr>
      <w:r>
        <w:rPr>
          <w:rStyle w:val="8"/>
          <w:rFonts w:ascii="inherit" w:hAnsi="inherit" w:eastAsia="微软雅黑" w:cs="Times New Roman"/>
          <w:color w:val="2F2F2F"/>
          <w:sz w:val="21"/>
          <w:szCs w:val="21"/>
        </w:rPr>
        <w:t>心脏脉冲电场消融</w:t>
      </w:r>
      <w:r>
        <w:rPr>
          <w:rStyle w:val="8"/>
          <w:rFonts w:ascii="inherit" w:hAnsi="inherit" w:eastAsia="微软雅黑"/>
          <w:color w:val="2F2F2F"/>
          <w:sz w:val="21"/>
          <w:szCs w:val="21"/>
        </w:rPr>
        <w:t>原理及特性</w:t>
      </w:r>
    </w:p>
    <w:p>
      <w:pPr>
        <w:pStyle w:val="5"/>
        <w:shd w:val="clear" w:color="auto" w:fill="FFFFFF"/>
        <w:spacing w:before="0" w:beforeAutospacing="0" w:after="0" w:afterAutospacing="0"/>
        <w:rPr>
          <w:rFonts w:ascii="inherit" w:hAnsi="inherit" w:eastAsia="微软雅黑"/>
          <w:color w:val="2F2F2F"/>
        </w:rPr>
      </w:pPr>
      <w:r>
        <w:rPr>
          <w:rFonts w:ascii="inherit" w:hAnsi="inherit" w:eastAsia="微软雅黑"/>
          <w:color w:val="2F2F2F"/>
        </w:rPr>
        <w:t>心脏脉冲电场消融，是一种利用脉冲电场为能量的新型消融方式。脉冲电场消融是通过设计适当的脉冲电场，采用短时程，高电压的多个电脉冲来进行消融能量的释放，使得消融过程为非热能消融（无焦耳产热）,有效的诱导心肌细胞发生电穿孔，使细胞外离子进入细胞，当高浓度Ca2 进入时，心肌细胞碎裂死亡。而对脉冲电场阈值较高的组织受到的损伤也是可逆的，这样可以定向损伤心肌传导系统，避免由周围其他组织损伤导致的并发症。</w:t>
      </w:r>
    </w:p>
    <w:p>
      <w:pPr>
        <w:pStyle w:val="5"/>
        <w:shd w:val="clear" w:color="auto" w:fill="FFFFFF"/>
        <w:spacing w:before="0" w:beforeAutospacing="0" w:after="0" w:afterAutospacing="0"/>
        <w:rPr>
          <w:rFonts w:hint="eastAsia" w:ascii="inherit" w:hAnsi="inherit" w:eastAsia="微软雅黑"/>
          <w:color w:val="2F2F2F"/>
        </w:rPr>
      </w:pPr>
    </w:p>
    <w:p>
      <w:pPr>
        <w:pStyle w:val="5"/>
        <w:shd w:val="clear" w:color="auto" w:fill="FFFFFF"/>
        <w:spacing w:before="0" w:beforeAutospacing="0" w:after="0" w:afterAutospacing="0"/>
        <w:rPr>
          <w:rStyle w:val="8"/>
          <w:rFonts w:ascii="inherit" w:hAnsi="inherit" w:eastAsia="微软雅黑" w:cs="Times New Roman"/>
          <w:color w:val="2F2F2F"/>
          <w:sz w:val="21"/>
          <w:szCs w:val="21"/>
        </w:rPr>
      </w:pPr>
      <w:r>
        <w:rPr>
          <w:rStyle w:val="8"/>
          <w:rFonts w:ascii="inherit" w:hAnsi="inherit" w:eastAsia="微软雅黑" w:cs="Times New Roman"/>
          <w:color w:val="2F2F2F"/>
          <w:sz w:val="21"/>
          <w:szCs w:val="21"/>
        </w:rPr>
        <w:t>脉冲电场消融的生物物理学 </w:t>
      </w:r>
    </w:p>
    <w:p>
      <w:pPr>
        <w:pStyle w:val="5"/>
        <w:shd w:val="clear" w:color="auto" w:fill="FFFFFF"/>
        <w:spacing w:before="0" w:beforeAutospacing="0" w:after="0" w:afterAutospacing="0"/>
        <w:rPr>
          <w:rStyle w:val="8"/>
          <w:rFonts w:hint="eastAsia" w:ascii="inherit" w:hAnsi="inherit" w:eastAsia="微软雅黑"/>
          <w:color w:val="2F2F2F"/>
        </w:rPr>
      </w:pPr>
    </w:p>
    <w:p>
      <w:pPr>
        <w:pStyle w:val="5"/>
        <w:shd w:val="clear" w:color="auto" w:fill="FFFFFF"/>
        <w:spacing w:before="0" w:beforeAutospacing="0" w:after="0" w:afterAutospacing="0"/>
        <w:rPr>
          <w:rFonts w:hint="eastAsia" w:ascii="微软雅黑" w:hAnsi="微软雅黑" w:eastAsia="微软雅黑"/>
          <w:color w:val="2F2F2F"/>
        </w:rPr>
      </w:pPr>
      <w:r>
        <w:rPr>
          <w:rFonts w:ascii="inherit" w:hAnsi="inherit" w:eastAsia="微软雅黑"/>
          <w:color w:val="2F2F2F"/>
        </w:rPr>
        <w:t>与传统的射频和冷冻能量相比，脉冲电场消融为非热能消融，因此脉冲电场可选择性的损伤心肌，而保留血管、神经及心脏周围组织，如肺、食管、膈神经等。心脏脉冲电场消融的特点有：</w:t>
      </w:r>
    </w:p>
    <w:p>
      <w:pPr>
        <w:pStyle w:val="5"/>
        <w:shd w:val="clear" w:color="auto" w:fill="FFFFFF"/>
        <w:spacing w:before="0" w:beforeAutospacing="0" w:after="0" w:afterAutospacing="0"/>
        <w:rPr>
          <w:rFonts w:hint="eastAsia" w:ascii="微软雅黑" w:hAnsi="微软雅黑" w:eastAsia="微软雅黑"/>
          <w:color w:val="2F2F2F"/>
        </w:rPr>
      </w:pPr>
      <w:r>
        <w:rPr>
          <w:rFonts w:ascii="inherit" w:hAnsi="inherit" w:eastAsia="微软雅黑"/>
          <w:color w:val="2F2F2F"/>
        </w:rPr>
        <w:t>　　（1）不损伤冠状动脉：研究提示，消融过程中可有一过性冠状动脉筋挛，术后3个月行消融损伤灶组织切片发现冠状动脉无明显损伤，冠状动脉切片除部分内膜增生外，未见明显改变，冠状动脉内膜增生并非每次都能被观察到，提示心外膜侧电场消融不损伤冠状动脉。</w:t>
      </w:r>
      <w:r>
        <w:rPr>
          <w:rFonts w:hint="eastAsia" w:ascii="inherit" w:hAnsi="inherit" w:eastAsia="微软雅黑"/>
          <w:color w:val="2F2F2F"/>
        </w:rPr>
        <w:drawing>
          <wp:inline distT="0" distB="0" distL="0" distR="0">
            <wp:extent cx="5266055" cy="2668905"/>
            <wp:effectExtent l="0" t="0" r="127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66055" cy="2668905"/>
                    </a:xfrm>
                    <a:prstGeom prst="rect">
                      <a:avLst/>
                    </a:prstGeom>
                    <a:noFill/>
                    <a:ln>
                      <a:noFill/>
                    </a:ln>
                  </pic:spPr>
                </pic:pic>
              </a:graphicData>
            </a:graphic>
          </wp:inline>
        </w:drawing>
      </w:r>
    </w:p>
    <w:p>
      <w:pPr>
        <w:pStyle w:val="5"/>
        <w:shd w:val="clear" w:color="auto" w:fill="FFFFFF"/>
        <w:spacing w:before="0" w:beforeAutospacing="0" w:after="0" w:afterAutospacing="0"/>
        <w:rPr>
          <w:rFonts w:hint="eastAsia" w:ascii="微软雅黑" w:hAnsi="微软雅黑" w:eastAsia="微软雅黑"/>
          <w:color w:val="2F2F2F"/>
        </w:rPr>
      </w:pPr>
      <w:r>
        <w:rPr>
          <w:rFonts w:ascii="inherit" w:hAnsi="inherit" w:eastAsia="微软雅黑"/>
          <w:color w:val="2F2F2F"/>
        </w:rPr>
        <w:t>　　（2）不损伤食管：在动物和人体脉冲电场消融可行性试验中，未发现食管损伤。</w:t>
      </w:r>
    </w:p>
    <w:p>
      <w:pPr>
        <w:pStyle w:val="5"/>
        <w:shd w:val="clear" w:color="auto" w:fill="FFFFFF"/>
        <w:spacing w:before="0" w:beforeAutospacing="0" w:after="0" w:afterAutospacing="0"/>
        <w:rPr>
          <w:rFonts w:hint="eastAsia" w:ascii="微软雅黑" w:hAnsi="微软雅黑" w:eastAsia="微软雅黑"/>
          <w:color w:val="2F2F2F"/>
        </w:rPr>
      </w:pPr>
      <w:r>
        <w:rPr>
          <w:rFonts w:ascii="inherit" w:hAnsi="inherit" w:eastAsia="微软雅黑"/>
          <w:color w:val="2F2F2F"/>
        </w:rPr>
        <w:t>　　（3）不损伤神经：既往动物实验中，脉冲电场消融灶的组织切片显示消融区域被纤维组织完全替代，但其内神经纤维结构仍然保持完整，提示脉冲电场消融能有效避免消融所致的神经损伤并发症。</w:t>
      </w:r>
    </w:p>
    <w:p>
      <w:pPr>
        <w:pStyle w:val="5"/>
        <w:shd w:val="clear" w:color="auto" w:fill="FFFFFF"/>
        <w:spacing w:before="0" w:beforeAutospacing="0" w:after="0" w:afterAutospacing="0"/>
        <w:rPr>
          <w:rFonts w:hint="eastAsia" w:ascii="微软雅黑" w:hAnsi="微软雅黑" w:eastAsia="微软雅黑"/>
          <w:color w:val="2F2F2F"/>
        </w:rPr>
      </w:pPr>
      <w:r>
        <w:rPr>
          <w:rFonts w:ascii="inherit" w:hAnsi="inherit" w:eastAsia="微软雅黑"/>
          <w:color w:val="2F2F2F"/>
        </w:rPr>
        <w:t>　　（4）不损伤细胞外基质：由于不可逆电穿孔的非热特性，不会使蛋白，包括胶原蛋白变性，从而消除对细胞外间质骨架的伤害，消融区和未消融区域界限清晰。由于这些特点，用脉冲电场消融行肺静脉消融后不产生静脉狭窄。</w:t>
      </w:r>
    </w:p>
    <w:p>
      <w:pPr>
        <w:pStyle w:val="5"/>
        <w:shd w:val="clear" w:color="auto" w:fill="FFFFFF"/>
        <w:spacing w:before="0" w:beforeAutospacing="0" w:after="0" w:afterAutospacing="0"/>
        <w:rPr>
          <w:rFonts w:hint="eastAsia" w:ascii="微软雅黑" w:hAnsi="微软雅黑" w:eastAsia="微软雅黑"/>
          <w:color w:val="2F2F2F"/>
        </w:rPr>
      </w:pPr>
      <w:r>
        <w:rPr>
          <w:rFonts w:ascii="inherit" w:hAnsi="inherit" w:eastAsia="微软雅黑"/>
          <w:color w:val="2F2F2F"/>
        </w:rPr>
        <w:t>　　（5）消融后损伤灶特点：脉冲电场消融所形成的损伤灶深度在心房、心耳、肺静脉，甚至是心室均能达到透壁。研究发现，随着消融能量的提高，损伤灶范围也按比例增大。</w:t>
      </w:r>
    </w:p>
    <w:p>
      <w:pPr>
        <w:pStyle w:val="5"/>
        <w:shd w:val="clear" w:color="auto" w:fill="FFFFFF"/>
        <w:spacing w:before="0" w:beforeAutospacing="0" w:after="0" w:afterAutospacing="0"/>
        <w:rPr>
          <w:rFonts w:hint="eastAsia" w:ascii="微软雅黑" w:hAnsi="微软雅黑" w:eastAsia="微软雅黑"/>
          <w:color w:val="2F2F2F"/>
        </w:rPr>
      </w:pPr>
      <w:r>
        <w:rPr>
          <w:rFonts w:ascii="inherit" w:hAnsi="inherit" w:eastAsia="微软雅黑"/>
          <w:color w:val="2F2F2F"/>
        </w:rPr>
        <w:t>　　（6）消融速度快，贴靠要求低：脉冲电场消融不仅速度快，导管与组织的贴靠要求也低。从大体观上，脉冲电场消融的疤痕连续性和均质性均远远好于射频消融。提示即便心耳内凹凸不平的梳状肌降低了导管的有效贴靠，但由于脉冲电场消融对贴靠要求低，仍能形成连续的透壁损伤。和射频能量不同，脉冲电场的电流密度随距离成线性衰减，而射频能量则以距离的4次方衰减。因此，脉冲电场较好的能量穿透性也降低了贴靠要求。</w:t>
      </w:r>
    </w:p>
    <w:p>
      <w:pPr>
        <w:pStyle w:val="5"/>
        <w:shd w:val="clear" w:color="auto" w:fill="FFFFFF"/>
        <w:spacing w:before="0" w:beforeAutospacing="0" w:after="0" w:afterAutospacing="0"/>
        <w:rPr>
          <w:rFonts w:hint="eastAsia" w:ascii="微软雅黑" w:hAnsi="微软雅黑" w:eastAsia="微软雅黑"/>
          <w:color w:val="2F2F2F"/>
        </w:rPr>
      </w:pPr>
    </w:p>
    <w:p>
      <w:pPr>
        <w:pStyle w:val="5"/>
        <w:shd w:val="clear" w:color="auto" w:fill="FFFFFF"/>
        <w:spacing w:before="0" w:beforeAutospacing="0" w:after="0" w:afterAutospacing="0"/>
        <w:rPr>
          <w:rFonts w:hint="eastAsia" w:ascii="微软雅黑" w:hAnsi="微软雅黑" w:eastAsia="微软雅黑"/>
          <w:color w:val="2F2F2F"/>
        </w:rPr>
      </w:pPr>
      <w:r>
        <w:rPr>
          <w:rFonts w:ascii="微软雅黑" w:hAnsi="微软雅黑" w:eastAsia="微软雅黑"/>
          <w:color w:val="2F2F2F"/>
        </w:rPr>
        <w:drawing>
          <wp:inline distT="0" distB="0" distL="0" distR="0">
            <wp:extent cx="5221605" cy="2650490"/>
            <wp:effectExtent l="0" t="0" r="762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21605" cy="2650490"/>
                    </a:xfrm>
                    <a:prstGeom prst="rect">
                      <a:avLst/>
                    </a:prstGeom>
                    <a:noFill/>
                    <a:ln>
                      <a:noFill/>
                    </a:ln>
                  </pic:spPr>
                </pic:pic>
              </a:graphicData>
            </a:graphic>
          </wp:inline>
        </w:drawing>
      </w:r>
    </w:p>
    <w:p>
      <w:pPr>
        <w:pStyle w:val="5"/>
        <w:shd w:val="clear" w:color="auto" w:fill="FFFFFF"/>
        <w:spacing w:before="0" w:beforeAutospacing="0" w:after="0" w:afterAutospacing="0"/>
        <w:rPr>
          <w:rFonts w:hint="eastAsia" w:ascii="微软雅黑" w:hAnsi="微软雅黑" w:eastAsia="微软雅黑"/>
          <w:color w:val="2F2F2F"/>
        </w:rPr>
      </w:pPr>
    </w:p>
    <w:p>
      <w:pPr>
        <w:pStyle w:val="5"/>
        <w:shd w:val="clear" w:color="auto" w:fill="FFFFFF"/>
        <w:spacing w:before="0" w:beforeAutospacing="0" w:after="0" w:afterAutospacing="0"/>
        <w:rPr>
          <w:rFonts w:hint="eastAsia" w:ascii="微软雅黑" w:hAnsi="微软雅黑" w:eastAsia="微软雅黑"/>
          <w:color w:val="2F2F2F"/>
        </w:rPr>
      </w:pPr>
      <w:r>
        <w:rPr>
          <w:rFonts w:ascii="微软雅黑" w:hAnsi="微软雅黑" w:eastAsia="微软雅黑"/>
          <w:color w:val="2F2F2F"/>
        </w:rPr>
        <w:drawing>
          <wp:inline distT="0" distB="0" distL="0" distR="0">
            <wp:extent cx="5212715" cy="2586990"/>
            <wp:effectExtent l="0" t="0" r="6985"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12715" cy="2586990"/>
                    </a:xfrm>
                    <a:prstGeom prst="rect">
                      <a:avLst/>
                    </a:prstGeom>
                    <a:noFill/>
                    <a:ln>
                      <a:noFill/>
                    </a:ln>
                  </pic:spPr>
                </pic:pic>
              </a:graphicData>
            </a:graphic>
          </wp:inline>
        </w:drawing>
      </w:r>
    </w:p>
    <w:p>
      <w:pPr>
        <w:pStyle w:val="5"/>
        <w:shd w:val="clear" w:color="auto" w:fill="FFFFFF"/>
        <w:spacing w:before="0" w:beforeAutospacing="0" w:after="0" w:afterAutospacing="0"/>
        <w:rPr>
          <w:rStyle w:val="8"/>
          <w:rFonts w:ascii="inherit" w:hAnsi="inherit" w:eastAsia="微软雅黑"/>
          <w:color w:val="2F2F2F"/>
        </w:rPr>
      </w:pPr>
    </w:p>
    <w:p>
      <w:pPr>
        <w:pStyle w:val="5"/>
        <w:shd w:val="clear" w:color="auto" w:fill="FFFFFF"/>
        <w:spacing w:before="0" w:beforeAutospacing="0" w:after="0" w:afterAutospacing="0"/>
        <w:rPr>
          <w:rStyle w:val="8"/>
          <w:rFonts w:hint="eastAsia" w:ascii="inherit" w:hAnsi="inherit" w:eastAsia="微软雅黑" w:cs="Times New Roman"/>
          <w:color w:val="2F2F2F"/>
        </w:rPr>
      </w:pPr>
      <w:r>
        <w:rPr>
          <w:rStyle w:val="8"/>
          <w:rFonts w:ascii="inherit" w:hAnsi="inherit" w:eastAsia="微软雅黑" w:cs="Times New Roman"/>
          <w:color w:val="2F2F2F"/>
        </w:rPr>
        <w:t>技术进展</w:t>
      </w:r>
    </w:p>
    <w:p>
      <w:pPr>
        <w:pStyle w:val="5"/>
        <w:shd w:val="clear" w:color="auto" w:fill="FFFFFF"/>
        <w:spacing w:before="0" w:beforeAutospacing="0" w:after="0" w:afterAutospacing="0"/>
        <w:rPr>
          <w:rFonts w:hint="eastAsia" w:ascii="微软雅黑" w:hAnsi="微软雅黑" w:eastAsia="微软雅黑"/>
          <w:color w:val="2F2F2F"/>
        </w:rPr>
      </w:pPr>
      <w:r>
        <w:rPr>
          <w:rFonts w:ascii="inherit" w:hAnsi="inherit" w:eastAsia="微软雅黑"/>
          <w:color w:val="2F2F2F"/>
        </w:rPr>
        <w:t>目前各大医疗公司已提前布局，收购或自研PFA消融导管及配套系统， 并投入临床试验搜集一线数据，为更好的使用这一新技术并占据新赛道提供可靠依据及寻求监管批准。</w:t>
      </w:r>
    </w:p>
    <w:p>
      <w:pPr>
        <w:pStyle w:val="5"/>
        <w:shd w:val="clear" w:color="auto" w:fill="FFFFFF"/>
        <w:spacing w:before="0" w:beforeAutospacing="0" w:after="0" w:afterAutospacing="0"/>
        <w:rPr>
          <w:rFonts w:hint="eastAsia" w:ascii="微软雅黑" w:hAnsi="微软雅黑" w:eastAsia="微软雅黑"/>
          <w:color w:val="2F2F2F"/>
        </w:rPr>
      </w:pPr>
      <w:r>
        <w:rPr>
          <w:rFonts w:ascii="微软雅黑" w:hAnsi="微软雅黑" w:eastAsia="微软雅黑"/>
          <w:color w:val="2F2F2F"/>
        </w:rPr>
        <w:drawing>
          <wp:inline distT="0" distB="0" distL="0" distR="0">
            <wp:extent cx="4784090" cy="2178685"/>
            <wp:effectExtent l="0" t="0" r="6985"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784090" cy="2178685"/>
                    </a:xfrm>
                    <a:prstGeom prst="rect">
                      <a:avLst/>
                    </a:prstGeom>
                    <a:noFill/>
                    <a:ln>
                      <a:noFill/>
                    </a:ln>
                  </pic:spPr>
                </pic:pic>
              </a:graphicData>
            </a:graphic>
          </wp:inline>
        </w:drawing>
      </w:r>
    </w:p>
    <w:p>
      <w:pPr>
        <w:pStyle w:val="5"/>
        <w:shd w:val="clear" w:color="auto" w:fill="FFFFFF"/>
        <w:spacing w:before="0" w:beforeAutospacing="0" w:after="0" w:afterAutospacing="0"/>
        <w:rPr>
          <w:rFonts w:hint="eastAsia" w:ascii="微软雅黑" w:hAnsi="微软雅黑" w:eastAsia="微软雅黑"/>
          <w:color w:val="2F2F2F"/>
        </w:rPr>
      </w:pPr>
      <w:r>
        <w:rPr>
          <w:rStyle w:val="8"/>
          <w:rFonts w:ascii="inherit" w:hAnsi="inherit" w:eastAsia="微软雅黑"/>
          <w:color w:val="2F2F2F"/>
        </w:rPr>
        <w:t>FaraPulse系统房颤消融示意动画</w:t>
      </w:r>
    </w:p>
    <w:p>
      <w:pPr>
        <w:pStyle w:val="5"/>
        <w:shd w:val="clear" w:color="auto" w:fill="FFFFFF"/>
        <w:spacing w:before="0" w:beforeAutospacing="0" w:after="0" w:afterAutospacing="0"/>
        <w:rPr>
          <w:rFonts w:hint="eastAsia" w:ascii="inherit" w:hAnsi="inherit" w:eastAsia="微软雅黑"/>
          <w:color w:val="3D6BA7"/>
        </w:rPr>
      </w:pPr>
    </w:p>
    <w:p>
      <w:pPr>
        <w:pStyle w:val="5"/>
        <w:shd w:val="clear" w:color="auto" w:fill="FFFFFF"/>
        <w:spacing w:before="0" w:beforeAutospacing="0" w:after="0" w:afterAutospacing="0"/>
        <w:rPr>
          <w:rFonts w:hint="eastAsia" w:ascii="宋体" w:hAnsi="宋体" w:eastAsia="宋体" w:cs="宋体"/>
          <w:sz w:val="24"/>
          <w:szCs w:val="24"/>
        </w:rPr>
      </w:pPr>
    </w:p>
    <w:p>
      <w:pPr>
        <w:pStyle w:val="5"/>
        <w:shd w:val="clear" w:color="auto" w:fill="FFFFFF"/>
        <w:spacing w:before="0" w:beforeAutospacing="0" w:after="0" w:afterAutospacing="0"/>
        <w:rPr>
          <w:rFonts w:hint="eastAsia" w:ascii="微软雅黑" w:hAnsi="微软雅黑" w:eastAsia="微软雅黑"/>
          <w:color w:val="2F2F2F"/>
        </w:rPr>
      </w:pPr>
      <w:r>
        <w:rPr>
          <w:rFonts w:ascii="inherit" w:hAnsi="inherit" w:eastAsia="微软雅黑"/>
          <w:color w:val="2F2F2F"/>
        </w:rPr>
        <w:t>FaraStar消融系统</w:t>
      </w:r>
    </w:p>
    <w:p>
      <w:pPr>
        <w:pStyle w:val="5"/>
        <w:shd w:val="clear" w:color="auto" w:fill="FFFFFF"/>
        <w:spacing w:before="0" w:beforeAutospacing="0" w:after="0" w:afterAutospacing="0"/>
        <w:rPr>
          <w:rFonts w:hint="eastAsia" w:ascii="微软雅黑" w:hAnsi="微软雅黑" w:eastAsia="微软雅黑"/>
          <w:color w:val="2F2F2F"/>
        </w:rPr>
      </w:pPr>
      <w:r>
        <w:rPr>
          <w:rFonts w:ascii="微软雅黑" w:hAnsi="微软雅黑" w:eastAsia="微软雅黑"/>
          <w:color w:val="2F2F2F"/>
        </w:rPr>
        <w:drawing>
          <wp:inline distT="0" distB="0" distL="0" distR="0">
            <wp:extent cx="5265420" cy="2343150"/>
            <wp:effectExtent l="0" t="0" r="190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65420" cy="2343150"/>
                    </a:xfrm>
                    <a:prstGeom prst="rect">
                      <a:avLst/>
                    </a:prstGeom>
                    <a:noFill/>
                    <a:ln>
                      <a:noFill/>
                    </a:ln>
                  </pic:spPr>
                </pic:pic>
              </a:graphicData>
            </a:graphic>
          </wp:inline>
        </w:drawing>
      </w:r>
    </w:p>
    <w:p>
      <w:pPr>
        <w:pStyle w:val="5"/>
        <w:shd w:val="clear" w:color="auto" w:fill="FFFFFF"/>
        <w:spacing w:before="0" w:beforeAutospacing="0" w:after="0" w:afterAutospacing="0"/>
        <w:rPr>
          <w:rFonts w:hint="eastAsia" w:ascii="微软雅黑" w:hAnsi="微软雅黑" w:eastAsia="微软雅黑"/>
          <w:color w:val="2F2F2F"/>
        </w:rPr>
      </w:pPr>
      <w:r>
        <w:rPr>
          <w:rFonts w:ascii="inherit" w:hAnsi="inherit" w:eastAsia="微软雅黑"/>
          <w:color w:val="2F2F2F"/>
        </w:rPr>
        <w:t>FaraWave房颤消融导管</w:t>
      </w:r>
    </w:p>
    <w:p>
      <w:pPr>
        <w:pStyle w:val="5"/>
        <w:shd w:val="clear" w:color="auto" w:fill="FFFFFF"/>
        <w:spacing w:before="0" w:beforeAutospacing="0" w:after="0" w:afterAutospacing="0"/>
        <w:rPr>
          <w:rFonts w:hint="eastAsia" w:ascii="微软雅黑" w:hAnsi="微软雅黑" w:eastAsia="微软雅黑"/>
          <w:color w:val="2F2F2F"/>
        </w:rPr>
      </w:pPr>
      <w:r>
        <w:rPr>
          <w:rFonts w:ascii="微软雅黑" w:hAnsi="微软雅黑" w:eastAsia="微软雅黑"/>
          <w:color w:val="2F2F2F"/>
        </w:rPr>
        <w:drawing>
          <wp:inline distT="0" distB="0" distL="0" distR="0">
            <wp:extent cx="5274310" cy="1918970"/>
            <wp:effectExtent l="0" t="0" r="254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1918970"/>
                    </a:xfrm>
                    <a:prstGeom prst="rect">
                      <a:avLst/>
                    </a:prstGeom>
                    <a:noFill/>
                    <a:ln>
                      <a:noFill/>
                    </a:ln>
                  </pic:spPr>
                </pic:pic>
              </a:graphicData>
            </a:graphic>
          </wp:inline>
        </w:drawing>
      </w:r>
    </w:p>
    <w:p>
      <w:pPr>
        <w:pStyle w:val="5"/>
        <w:shd w:val="clear" w:color="auto" w:fill="FFFFFF"/>
        <w:spacing w:before="0" w:beforeAutospacing="0" w:after="0" w:afterAutospacing="0"/>
        <w:rPr>
          <w:rFonts w:hint="eastAsia" w:ascii="微软雅黑" w:hAnsi="微软雅黑" w:eastAsia="微软雅黑"/>
          <w:color w:val="2F2F2F"/>
        </w:rPr>
      </w:pPr>
      <w:r>
        <w:rPr>
          <w:rFonts w:ascii="inherit" w:hAnsi="inherit" w:eastAsia="微软雅黑"/>
          <w:color w:val="2F2F2F"/>
        </w:rPr>
        <w:t>FaraFlex局灶消融导管</w:t>
      </w:r>
    </w:p>
    <w:p>
      <w:pPr>
        <w:pStyle w:val="5"/>
        <w:shd w:val="clear" w:color="auto" w:fill="FFFFFF"/>
        <w:spacing w:before="0" w:beforeAutospacing="0" w:after="0" w:afterAutospacing="0"/>
        <w:rPr>
          <w:rFonts w:hint="eastAsia" w:ascii="微软雅黑" w:hAnsi="微软雅黑" w:eastAsia="微软雅黑"/>
          <w:color w:val="2F2F2F"/>
        </w:rPr>
      </w:pPr>
      <w:r>
        <w:rPr>
          <w:rFonts w:ascii="微软雅黑" w:hAnsi="微软雅黑" w:eastAsia="微软雅黑"/>
          <w:color w:val="2F2F2F"/>
        </w:rPr>
        <w:drawing>
          <wp:inline distT="0" distB="0" distL="0" distR="0">
            <wp:extent cx="5274310" cy="1633855"/>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1633855"/>
                    </a:xfrm>
                    <a:prstGeom prst="rect">
                      <a:avLst/>
                    </a:prstGeom>
                    <a:noFill/>
                    <a:ln>
                      <a:noFill/>
                    </a:ln>
                  </pic:spPr>
                </pic:pic>
              </a:graphicData>
            </a:graphic>
          </wp:inline>
        </w:drawing>
      </w:r>
    </w:p>
    <w:p>
      <w:pPr>
        <w:pStyle w:val="5"/>
        <w:shd w:val="clear" w:color="auto" w:fill="FFFFFF"/>
        <w:spacing w:before="0" w:beforeAutospacing="0" w:after="0" w:afterAutospacing="0"/>
        <w:rPr>
          <w:rFonts w:hint="eastAsia" w:ascii="微软雅黑" w:hAnsi="微软雅黑" w:eastAsia="微软雅黑"/>
          <w:color w:val="2F2F2F"/>
        </w:rPr>
      </w:pPr>
      <w:r>
        <w:rPr>
          <w:rFonts w:ascii="inherit" w:hAnsi="inherit" w:eastAsia="微软雅黑"/>
          <w:color w:val="2F2F2F"/>
        </w:rPr>
        <w:t>FaraPoint点状消融导管</w:t>
      </w:r>
    </w:p>
    <w:p>
      <w:pPr>
        <w:pStyle w:val="5"/>
        <w:shd w:val="clear" w:color="auto" w:fill="FFFFFF"/>
        <w:spacing w:before="0" w:beforeAutospacing="0" w:after="0" w:afterAutospacing="0"/>
        <w:rPr>
          <w:rFonts w:hint="eastAsia" w:ascii="微软雅黑" w:hAnsi="微软雅黑" w:eastAsia="微软雅黑"/>
          <w:color w:val="2F2F2F"/>
        </w:rPr>
      </w:pPr>
      <w:r>
        <w:rPr>
          <w:rFonts w:ascii="微软雅黑" w:hAnsi="微软雅黑" w:eastAsia="微软雅黑"/>
          <w:color w:val="2F2F2F"/>
        </w:rPr>
        <w:drawing>
          <wp:inline distT="0" distB="0" distL="0" distR="0">
            <wp:extent cx="5274310" cy="171386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1713865"/>
                    </a:xfrm>
                    <a:prstGeom prst="rect">
                      <a:avLst/>
                    </a:prstGeom>
                    <a:noFill/>
                    <a:ln>
                      <a:noFill/>
                    </a:ln>
                  </pic:spPr>
                </pic:pic>
              </a:graphicData>
            </a:graphic>
          </wp:inline>
        </w:drawing>
      </w:r>
    </w:p>
    <w:p>
      <w:pPr>
        <w:pStyle w:val="5"/>
        <w:shd w:val="clear" w:color="auto" w:fill="FFFFFF"/>
        <w:spacing w:before="0" w:beforeAutospacing="0" w:after="0" w:afterAutospacing="0"/>
        <w:rPr>
          <w:rFonts w:hint="eastAsia" w:ascii="微软雅黑" w:hAnsi="微软雅黑" w:eastAsia="微软雅黑"/>
          <w:color w:val="2F2F2F"/>
        </w:rPr>
      </w:pPr>
      <w:r>
        <w:rPr>
          <w:rFonts w:ascii="inherit" w:hAnsi="inherit" w:eastAsia="微软雅黑"/>
          <w:color w:val="2F2F2F"/>
        </w:rPr>
        <w:t>FaraOne外科心脏后壁隔离消融导管</w:t>
      </w:r>
    </w:p>
    <w:p>
      <w:pPr>
        <w:pStyle w:val="5"/>
        <w:shd w:val="clear" w:color="auto" w:fill="FFFFFF"/>
        <w:spacing w:before="0" w:beforeAutospacing="0" w:after="0" w:afterAutospacing="0"/>
        <w:rPr>
          <w:rFonts w:hint="eastAsia" w:ascii="微软雅黑" w:hAnsi="微软雅黑" w:eastAsia="微软雅黑"/>
          <w:color w:val="2F2F2F"/>
        </w:rPr>
      </w:pPr>
      <w:r>
        <w:rPr>
          <w:rFonts w:ascii="微软雅黑" w:hAnsi="微软雅黑" w:eastAsia="微软雅黑"/>
          <w:color w:val="2F2F2F"/>
        </w:rPr>
        <w:drawing>
          <wp:inline distT="0" distB="0" distL="0" distR="0">
            <wp:extent cx="5227955" cy="1978660"/>
            <wp:effectExtent l="0" t="0" r="127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27955" cy="1978660"/>
                    </a:xfrm>
                    <a:prstGeom prst="rect">
                      <a:avLst/>
                    </a:prstGeom>
                    <a:noFill/>
                    <a:ln>
                      <a:noFill/>
                    </a:ln>
                  </pic:spPr>
                </pic:pic>
              </a:graphicData>
            </a:graphic>
          </wp:inline>
        </w:drawing>
      </w:r>
    </w:p>
    <w:p>
      <w:pPr>
        <w:pStyle w:val="5"/>
        <w:shd w:val="clear" w:color="auto" w:fill="FFFFFF"/>
        <w:spacing w:before="0" w:beforeAutospacing="0" w:after="0" w:afterAutospacing="0"/>
        <w:rPr>
          <w:rFonts w:hint="eastAsia" w:ascii="微软雅黑" w:hAnsi="微软雅黑" w:eastAsia="微软雅黑"/>
          <w:color w:val="2F2F2F"/>
        </w:rPr>
      </w:pPr>
      <w:r>
        <w:rPr>
          <w:rStyle w:val="8"/>
          <w:rFonts w:ascii="inherit" w:hAnsi="inherit" w:eastAsia="微软雅黑"/>
          <w:color w:val="2F2F2F"/>
        </w:rPr>
        <w:t>PulseSelect</w:t>
      </w:r>
    </w:p>
    <w:p>
      <w:pPr>
        <w:pStyle w:val="4"/>
        <w:shd w:val="clear" w:color="auto" w:fill="FFFFFF"/>
        <w:spacing w:before="0" w:after="0"/>
        <w:rPr>
          <w:rFonts w:hint="eastAsia" w:ascii="微软雅黑" w:hAnsi="微软雅黑" w:eastAsia="微软雅黑"/>
          <w:color w:val="2F2F2F"/>
          <w:sz w:val="21"/>
          <w:szCs w:val="21"/>
        </w:rPr>
      </w:pPr>
      <w:r>
        <w:rPr>
          <w:rStyle w:val="8"/>
          <w:rFonts w:ascii="inherit" w:hAnsi="inherit" w:eastAsia="微软雅黑"/>
          <w:b/>
          <w:bCs/>
          <w:color w:val="2F2F2F"/>
          <w:sz w:val="21"/>
          <w:szCs w:val="21"/>
        </w:rPr>
        <w:t>脉冲场消融后的电压图及脉冲场消融后的SuperMap</w:t>
      </w:r>
    </w:p>
    <w:p>
      <w:pPr>
        <w:pStyle w:val="5"/>
        <w:shd w:val="clear" w:color="auto" w:fill="FFFFFF"/>
        <w:spacing w:before="0" w:beforeAutospacing="0" w:after="0" w:afterAutospacing="0"/>
        <w:rPr>
          <w:rFonts w:hint="eastAsia" w:ascii="微软雅黑" w:hAnsi="微软雅黑" w:eastAsia="微软雅黑"/>
          <w:color w:val="2F2F2F"/>
        </w:rPr>
      </w:pPr>
      <w:r>
        <w:rPr>
          <w:rFonts w:ascii="微软雅黑" w:hAnsi="微软雅黑" w:eastAsia="微软雅黑"/>
          <w:color w:val="2F2F2F"/>
        </w:rPr>
        <w:drawing>
          <wp:inline distT="0" distB="0" distL="0" distR="0">
            <wp:extent cx="5055235" cy="2397760"/>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055235" cy="2397760"/>
                    </a:xfrm>
                    <a:prstGeom prst="rect">
                      <a:avLst/>
                    </a:prstGeom>
                    <a:noFill/>
                    <a:ln>
                      <a:noFill/>
                    </a:ln>
                  </pic:spPr>
                </pic:pic>
              </a:graphicData>
            </a:graphic>
          </wp:inline>
        </w:drawing>
      </w:r>
    </w:p>
    <w:p>
      <w:pPr>
        <w:pStyle w:val="5"/>
        <w:shd w:val="clear" w:color="auto" w:fill="FFFFFF"/>
        <w:spacing w:before="0" w:beforeAutospacing="0" w:after="0" w:afterAutospacing="0"/>
        <w:rPr>
          <w:rFonts w:hint="eastAsia" w:ascii="微软雅黑" w:hAnsi="微软雅黑" w:eastAsia="微软雅黑"/>
          <w:color w:val="2F2F2F"/>
        </w:rPr>
      </w:pPr>
      <w:r>
        <w:rPr>
          <w:rFonts w:ascii="inherit" w:hAnsi="inherit" w:eastAsia="微软雅黑"/>
          <w:color w:val="2F2F2F"/>
        </w:rPr>
        <w:t>   </w:t>
      </w:r>
      <w:r>
        <w:rPr>
          <w:rStyle w:val="8"/>
          <w:rFonts w:ascii="inherit" w:hAnsi="inherit" w:eastAsia="微软雅黑"/>
          <w:color w:val="2F2F2F"/>
        </w:rPr>
        <w:t>3: 应用前景</w:t>
      </w:r>
    </w:p>
    <w:p>
      <w:pPr>
        <w:pStyle w:val="5"/>
        <w:shd w:val="clear" w:color="auto" w:fill="FFFFFF"/>
        <w:spacing w:before="0" w:beforeAutospacing="0" w:after="0" w:afterAutospacing="0"/>
        <w:rPr>
          <w:rFonts w:hint="eastAsia" w:ascii="微软雅黑" w:hAnsi="微软雅黑" w:eastAsia="微软雅黑"/>
          <w:color w:val="2F2F2F"/>
        </w:rPr>
      </w:pPr>
      <w:r>
        <w:rPr>
          <w:rFonts w:ascii="inherit" w:hAnsi="inherit" w:eastAsia="微软雅黑"/>
          <w:color w:val="2F2F2F"/>
        </w:rPr>
        <w:t>基于脉冲电场消融的特点和早期研究结果，PFA 的优势显而易见， 尤其在心房颤动肺静脉隔离术、心脏自主神经节丛消融术以及心脏浦氏纤维系统消融术中应用前景广阔。脉冲电场的组织选择性、非热能消融、能量释放快速、损伤效果好且不需要完全贴靠等优点也使其成为下一代消融能量的有力候选者，但是如何安全高效的应用脉冲电场消融原理设计消融导管，优化参数设置，以及明确消融应用范围及安全性等等仍旧需要充足的临床证据才能进行大规模的普及应用。</w:t>
      </w:r>
    </w:p>
    <w:p>
      <w:pPr>
        <w:pStyle w:val="5"/>
        <w:shd w:val="clear" w:color="auto" w:fill="FFFFFF"/>
        <w:spacing w:before="0" w:beforeAutospacing="0" w:after="0" w:afterAutospacing="0"/>
        <w:rPr>
          <w:rFonts w:hint="eastAsia" w:ascii="微软雅黑" w:hAnsi="微软雅黑" w:eastAsia="微软雅黑"/>
          <w:color w:val="2F2F2F"/>
        </w:rPr>
      </w:pPr>
    </w:p>
    <w:p>
      <w:pPr>
        <w:pStyle w:val="5"/>
        <w:shd w:val="clear" w:color="auto" w:fill="FFFFFF"/>
        <w:spacing w:before="0" w:beforeAutospacing="0" w:after="0" w:afterAutospacing="0"/>
        <w:rPr>
          <w:rFonts w:hint="eastAsia" w:ascii="微软雅黑" w:hAnsi="微软雅黑" w:eastAsia="微软雅黑"/>
          <w:color w:val="2F2F2F"/>
        </w:rPr>
      </w:pPr>
      <w:r>
        <w:rPr>
          <w:rFonts w:ascii="微软雅黑" w:hAnsi="微软雅黑" w:eastAsia="微软雅黑"/>
          <w:color w:val="2F2F2F"/>
        </w:rPr>
        <w:drawing>
          <wp:inline distT="0" distB="0" distL="0" distR="0">
            <wp:extent cx="5274310" cy="2616835"/>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2616835"/>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inherit">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Microsoft JhengHei">
    <w:panose1 w:val="020B0604030504040204"/>
    <w:charset w:val="88"/>
    <w:family w:val="swiss"/>
    <w:pitch w:val="default"/>
    <w:sig w:usb0="000002A7" w:usb1="28CF4400" w:usb2="00000016" w:usb3="00000000" w:csb0="00100009" w:csb1="00000000"/>
  </w:font>
  <w:font w:name="Calibri-Bol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楷体">
    <w:panose1 w:val="02010600040101010101"/>
    <w:charset w:val="86"/>
    <w:family w:val="auto"/>
    <w:pitch w:val="default"/>
    <w:sig w:usb0="00000287" w:usb1="080F0000" w:usb2="00000000" w:usb3="00000000" w:csb0="0004009F" w:csb1="DFD70000"/>
  </w:font>
  <w:font w:name="方正舒体">
    <w:panose1 w:val="02010601030101010101"/>
    <w:charset w:val="86"/>
    <w:family w:val="auto"/>
    <w:pitch w:val="default"/>
    <w:sig w:usb0="00000003"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 w:name="Helvetica">
    <w:altName w:val="Aria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CB87DC"/>
    <w:multiLevelType w:val="singleLevel"/>
    <w:tmpl w:val="B7CB87DC"/>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2EE"/>
    <w:rsid w:val="001532EE"/>
    <w:rsid w:val="00ED0D0E"/>
    <w:rsid w:val="14DD5FD7"/>
    <w:rsid w:val="1FDF0757"/>
    <w:rsid w:val="248053B7"/>
    <w:rsid w:val="2E1D349F"/>
    <w:rsid w:val="437D345F"/>
    <w:rsid w:val="5049401C"/>
    <w:rsid w:val="5D41751D"/>
    <w:rsid w:val="60A62164"/>
    <w:rsid w:val="728F63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0"/>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5"/>
    <w:basedOn w:val="1"/>
    <w:next w:val="1"/>
    <w:link w:val="12"/>
    <w:semiHidden/>
    <w:unhideWhenUsed/>
    <w:qFormat/>
    <w:uiPriority w:val="9"/>
    <w:pPr>
      <w:keepNext/>
      <w:keepLines/>
      <w:spacing w:before="280" w:after="290" w:line="376" w:lineRule="auto"/>
      <w:outlineLvl w:val="4"/>
    </w:pPr>
    <w:rPr>
      <w:b/>
      <w:bCs/>
      <w:sz w:val="28"/>
      <w:szCs w:val="28"/>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Hyperlink"/>
    <w:basedOn w:val="7"/>
    <w:semiHidden/>
    <w:unhideWhenUsed/>
    <w:uiPriority w:val="99"/>
    <w:rPr>
      <w:color w:val="0000FF"/>
      <w:u w:val="single"/>
    </w:rPr>
  </w:style>
  <w:style w:type="character" w:customStyle="1" w:styleId="10">
    <w:name w:val="标题 2 字符"/>
    <w:basedOn w:val="7"/>
    <w:link w:val="3"/>
    <w:uiPriority w:val="9"/>
    <w:rPr>
      <w:rFonts w:ascii="宋体" w:hAnsi="宋体" w:eastAsia="宋体" w:cs="宋体"/>
      <w:b/>
      <w:bCs/>
      <w:kern w:val="0"/>
      <w:sz w:val="36"/>
      <w:szCs w:val="36"/>
    </w:rPr>
  </w:style>
  <w:style w:type="character" w:customStyle="1" w:styleId="11">
    <w:name w:val="标题 1 字符"/>
    <w:basedOn w:val="7"/>
    <w:link w:val="2"/>
    <w:uiPriority w:val="9"/>
    <w:rPr>
      <w:b/>
      <w:bCs/>
      <w:kern w:val="44"/>
      <w:sz w:val="44"/>
      <w:szCs w:val="44"/>
    </w:rPr>
  </w:style>
  <w:style w:type="character" w:customStyle="1" w:styleId="12">
    <w:name w:val="标题 5 字符"/>
    <w:basedOn w:val="7"/>
    <w:link w:val="4"/>
    <w:semiHidden/>
    <w:uiPriority w:val="9"/>
    <w:rPr>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1041</Words>
  <Characters>5935</Characters>
  <Lines>49</Lines>
  <Paragraphs>13</Paragraphs>
  <TotalTime>6</TotalTime>
  <ScaleCrop>false</ScaleCrop>
  <LinksUpToDate>false</LinksUpToDate>
  <CharactersWithSpaces>6963</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2021-08-25T11:59:00Z</dcterms:created>
  <dc:creator>a13424316670@outlook.com</dc:creator>
  <cp:lastModifiedBy>an'ge'l</cp:lastModifiedBy>
  <dcterms:modified xsi:type="dcterms:W3CDTF">2021-11-04T04:16:52Z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EA654A5DAF95487D950832F42D731177</vt:lpwstr>
  </property>
</Properties>
</file>